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A417E8">
      <w:pPr>
        <w:spacing w:after="0"/>
        <w:jc w:val="center"/>
      </w:pPr>
    </w:p>
    <w:p w:rsidR="00175783" w:rsidRDefault="00175783" w:rsidP="00A417E8">
      <w:pPr>
        <w:spacing w:after="0"/>
        <w:jc w:val="center"/>
      </w:pPr>
    </w:p>
    <w:p w:rsidR="00175783" w:rsidRDefault="00175783" w:rsidP="00A417E8">
      <w:pPr>
        <w:spacing w:after="0"/>
        <w:jc w:val="center"/>
      </w:pPr>
    </w:p>
    <w:p w:rsidR="00175783" w:rsidRDefault="00175783" w:rsidP="00A417E8">
      <w:pPr>
        <w:spacing w:after="0"/>
        <w:jc w:val="center"/>
      </w:pPr>
    </w:p>
    <w:p w:rsidR="00175783" w:rsidRDefault="00175783" w:rsidP="00A417E8">
      <w:pPr>
        <w:spacing w:after="0"/>
        <w:jc w:val="center"/>
      </w:pPr>
    </w:p>
    <w:p w:rsidR="00175783" w:rsidRDefault="00175783" w:rsidP="00A417E8">
      <w:pPr>
        <w:spacing w:after="0"/>
        <w:jc w:val="center"/>
      </w:pPr>
    </w:p>
    <w:p w:rsidR="00175783" w:rsidRDefault="00175783" w:rsidP="00A417E8">
      <w:pPr>
        <w:spacing w:after="0"/>
        <w:jc w:val="center"/>
      </w:pPr>
    </w:p>
    <w:p w:rsidR="00175783" w:rsidRDefault="00175783" w:rsidP="00A417E8">
      <w:pPr>
        <w:spacing w:after="0"/>
        <w:jc w:val="center"/>
      </w:pPr>
    </w:p>
    <w:p w:rsidR="00175783" w:rsidRDefault="00175783" w:rsidP="00A417E8">
      <w:pPr>
        <w:spacing w:after="0"/>
        <w:jc w:val="center"/>
      </w:pPr>
    </w:p>
    <w:p w:rsidR="00D53B8C" w:rsidRPr="00A417E8" w:rsidRDefault="00B64200" w:rsidP="00A417E8">
      <w:pPr>
        <w:spacing w:after="0"/>
        <w:jc w:val="center"/>
        <w:rPr>
          <w:rFonts w:ascii="Arial Narrow" w:hAnsi="Arial Narrow"/>
        </w:rPr>
      </w:pPr>
      <w:r w:rsidRPr="00A417E8">
        <w:rPr>
          <w:rFonts w:ascii="Arial Narrow" w:hAnsi="Arial Narrow"/>
        </w:rPr>
        <w:t>Ron Engineering vs. Government of Ontario</w:t>
      </w:r>
    </w:p>
    <w:p w:rsidR="00790ECD" w:rsidRPr="00A417E8" w:rsidRDefault="00175783" w:rsidP="00A417E8">
      <w:pPr>
        <w:spacing w:after="0"/>
        <w:jc w:val="center"/>
        <w:rPr>
          <w:rFonts w:ascii="Arial Narrow" w:hAnsi="Arial Narrow"/>
        </w:rPr>
      </w:pPr>
      <w:r w:rsidRPr="00A417E8">
        <w:rPr>
          <w:rFonts w:ascii="Arial Narrow" w:hAnsi="Arial Narrow"/>
        </w:rPr>
        <w:t>Student’s Name</w:t>
      </w:r>
    </w:p>
    <w:p w:rsidR="00175783" w:rsidRPr="00A417E8" w:rsidRDefault="00175783" w:rsidP="00A417E8">
      <w:pPr>
        <w:spacing w:after="0"/>
        <w:jc w:val="center"/>
        <w:rPr>
          <w:rFonts w:ascii="Arial Narrow" w:hAnsi="Arial Narrow"/>
        </w:rPr>
      </w:pPr>
      <w:r w:rsidRPr="00A417E8">
        <w:rPr>
          <w:rFonts w:ascii="Arial Narrow" w:hAnsi="Arial Narrow"/>
        </w:rPr>
        <w:t>Institution</w:t>
      </w:r>
    </w:p>
    <w:p w:rsidR="005E1C46" w:rsidRPr="00A417E8" w:rsidRDefault="005E1C46" w:rsidP="00A417E8">
      <w:pPr>
        <w:spacing w:after="0"/>
        <w:jc w:val="center"/>
        <w:rPr>
          <w:rFonts w:ascii="Arial Narrow" w:hAnsi="Arial Narrow"/>
        </w:rPr>
      </w:pPr>
      <w:r w:rsidRPr="00A417E8">
        <w:rPr>
          <w:rFonts w:ascii="Arial Narrow" w:hAnsi="Arial Narrow"/>
        </w:rPr>
        <w:t>Date</w:t>
      </w:r>
    </w:p>
    <w:p w:rsidR="00175783" w:rsidRDefault="00175783" w:rsidP="00A417E8">
      <w:pPr>
        <w:spacing w:after="0"/>
      </w:pPr>
      <w:r>
        <w:br w:type="page"/>
      </w:r>
    </w:p>
    <w:p w:rsidR="00B64200" w:rsidRDefault="00B64200" w:rsidP="00A417E8">
      <w:pPr>
        <w:autoSpaceDE w:val="0"/>
        <w:autoSpaceDN w:val="0"/>
        <w:adjustRightInd w:val="0"/>
        <w:spacing w:after="0"/>
        <w:ind w:firstLine="720"/>
        <w:jc w:val="center"/>
        <w:rPr>
          <w:rFonts w:ascii="Arial" w:hAnsi="Arial" w:cs="Arial"/>
          <w:szCs w:val="24"/>
        </w:rPr>
      </w:pPr>
      <w:r>
        <w:rPr>
          <w:rFonts w:ascii="Arial" w:hAnsi="Arial" w:cs="Arial"/>
          <w:szCs w:val="24"/>
        </w:rPr>
        <w:lastRenderedPageBreak/>
        <w:t xml:space="preserve">Ron Engineering vs. </w:t>
      </w:r>
      <w:bookmarkStart w:id="0" w:name="_GoBack"/>
      <w:r>
        <w:rPr>
          <w:rFonts w:ascii="Arial" w:hAnsi="Arial" w:cs="Arial"/>
          <w:szCs w:val="24"/>
        </w:rPr>
        <w:t>Government of Ontario</w:t>
      </w:r>
      <w:bookmarkEnd w:id="0"/>
    </w:p>
    <w:p w:rsidR="00B64200" w:rsidRPr="00A417E8" w:rsidRDefault="00B64200" w:rsidP="00A417E8">
      <w:pPr>
        <w:autoSpaceDE w:val="0"/>
        <w:autoSpaceDN w:val="0"/>
        <w:adjustRightInd w:val="0"/>
        <w:spacing w:after="0"/>
        <w:ind w:firstLine="720"/>
        <w:rPr>
          <w:rFonts w:ascii="Arial" w:hAnsi="Arial" w:cs="Arial"/>
          <w:b/>
          <w:szCs w:val="24"/>
        </w:rPr>
      </w:pPr>
      <w:r w:rsidRPr="00A417E8">
        <w:rPr>
          <w:rFonts w:ascii="Arial" w:hAnsi="Arial" w:cs="Arial"/>
          <w:b/>
          <w:szCs w:val="24"/>
        </w:rPr>
        <w:t>Background</w:t>
      </w:r>
    </w:p>
    <w:p w:rsidR="00B64200" w:rsidRPr="00A417E8" w:rsidRDefault="00B64200" w:rsidP="00A417E8">
      <w:pPr>
        <w:autoSpaceDE w:val="0"/>
        <w:autoSpaceDN w:val="0"/>
        <w:adjustRightInd w:val="0"/>
        <w:spacing w:after="0"/>
        <w:ind w:firstLine="720"/>
        <w:rPr>
          <w:rFonts w:ascii="Arial" w:hAnsi="Arial" w:cs="Arial"/>
          <w:b/>
          <w:szCs w:val="24"/>
        </w:rPr>
      </w:pPr>
      <w:r w:rsidRPr="00A417E8">
        <w:rPr>
          <w:rFonts w:ascii="Arial" w:hAnsi="Arial" w:cs="Arial"/>
          <w:b/>
          <w:szCs w:val="24"/>
        </w:rPr>
        <w:t>Description of what happened between Ron Engineering and the Government of Ontario that lead to the court case</w:t>
      </w:r>
    </w:p>
    <w:p w:rsidR="00B64200" w:rsidRPr="00EB1749" w:rsidRDefault="00B64200" w:rsidP="00A417E8">
      <w:pPr>
        <w:autoSpaceDE w:val="0"/>
        <w:autoSpaceDN w:val="0"/>
        <w:adjustRightInd w:val="0"/>
        <w:spacing w:after="0"/>
        <w:ind w:firstLine="720"/>
        <w:rPr>
          <w:rFonts w:ascii="Arial" w:hAnsi="Arial" w:cs="Arial"/>
          <w:szCs w:val="24"/>
        </w:rPr>
      </w:pPr>
      <w:r w:rsidRPr="00EB1749">
        <w:rPr>
          <w:rFonts w:ascii="Arial" w:hAnsi="Arial" w:cs="Arial"/>
          <w:szCs w:val="24"/>
        </w:rPr>
        <w:t>There was a call for tender sent out in Canada requiring a deposit of appropriately $150,000 that would be lost if the tender offer would be reserved</w:t>
      </w:r>
      <w:r>
        <w:rPr>
          <w:rFonts w:ascii="Arial" w:hAnsi="Arial" w:cs="Arial"/>
          <w:szCs w:val="24"/>
        </w:rPr>
        <w:t xml:space="preserve"> (Lalonde, 2017)</w:t>
      </w:r>
      <w:r w:rsidRPr="00EB1749">
        <w:rPr>
          <w:rFonts w:ascii="Arial" w:hAnsi="Arial" w:cs="Arial"/>
          <w:szCs w:val="24"/>
        </w:rPr>
        <w:t>. Ron Engineering Firm requested the tender through submitting an offer with the required deposit also having been paid through a licensed cheque. When the tenders were opened by the owner, it was found that Ron Engineering Company was the lowest bidder by a big margin. A discovery was then made pertaining to the lower price of tender imposed than the amount that Ron Engineering intended to submit, because mistake had been committed on the total bid price. The owner of the tender was called and informed of the mistake and started making amendments on the offer but the owner refused and gave the tender to another company. In the midst of all these scandal, the owner kept Ron Engineering deposit but the company sued the tender owner to allow for refund of their money deposit. The government also claimed that there were costs it incurred when decision to have another bidder was met. A court case was created by the situation with Ron Engineering Company fighting to be given back its deposit. Additionally, the case was reported to the Ontario Court of Appeal where a ruling of providing deposit back to Ron Engineering was done. The Court ruled that it was a right for Ron Engineering to have access of its deposit due to its entitlement</w:t>
      </w:r>
      <w:r w:rsidRPr="003168EE">
        <w:rPr>
          <w:rFonts w:ascii="Arial" w:hAnsi="Arial" w:cs="Arial"/>
          <w:szCs w:val="24"/>
        </w:rPr>
        <w:t xml:space="preserve"> </w:t>
      </w:r>
      <w:r>
        <w:rPr>
          <w:rFonts w:ascii="Arial" w:hAnsi="Arial" w:cs="Arial"/>
          <w:szCs w:val="24"/>
        </w:rPr>
        <w:t>(Greene, 2017)</w:t>
      </w:r>
      <w:r w:rsidRPr="00EB1749">
        <w:rPr>
          <w:rFonts w:ascii="Arial" w:hAnsi="Arial" w:cs="Arial"/>
          <w:szCs w:val="24"/>
        </w:rPr>
        <w:t xml:space="preserve">. The owner then later appealed to case the case at the Supreme Court of Canada. </w:t>
      </w:r>
    </w:p>
    <w:p w:rsidR="00B64200" w:rsidRPr="00A417E8" w:rsidRDefault="00B64200" w:rsidP="00A417E8">
      <w:pPr>
        <w:autoSpaceDE w:val="0"/>
        <w:autoSpaceDN w:val="0"/>
        <w:adjustRightInd w:val="0"/>
        <w:spacing w:after="0"/>
        <w:ind w:firstLine="720"/>
        <w:rPr>
          <w:rFonts w:ascii="Arial" w:hAnsi="Arial" w:cs="Arial"/>
          <w:b/>
          <w:szCs w:val="24"/>
        </w:rPr>
      </w:pPr>
      <w:r w:rsidRPr="00A417E8">
        <w:rPr>
          <w:rFonts w:ascii="Arial" w:hAnsi="Arial" w:cs="Arial"/>
          <w:b/>
          <w:szCs w:val="24"/>
        </w:rPr>
        <w:lastRenderedPageBreak/>
        <w:t>Ron Engineering’s (The Plaintiff) Position</w:t>
      </w:r>
    </w:p>
    <w:p w:rsidR="00B64200" w:rsidRPr="00EB1749" w:rsidRDefault="00B64200" w:rsidP="00A417E8">
      <w:pPr>
        <w:autoSpaceDE w:val="0"/>
        <w:autoSpaceDN w:val="0"/>
        <w:adjustRightInd w:val="0"/>
        <w:spacing w:after="0"/>
        <w:ind w:firstLine="720"/>
        <w:rPr>
          <w:rFonts w:ascii="Arial" w:hAnsi="Arial" w:cs="Arial"/>
          <w:szCs w:val="24"/>
        </w:rPr>
      </w:pPr>
      <w:r w:rsidRPr="00EB1749">
        <w:rPr>
          <w:rFonts w:ascii="Arial" w:hAnsi="Arial" w:cs="Arial"/>
          <w:szCs w:val="24"/>
        </w:rPr>
        <w:t xml:space="preserve"> Description of why Ron Engineering believed they were entitled to their deposit</w:t>
      </w:r>
    </w:p>
    <w:p w:rsidR="00B64200" w:rsidRPr="00EB1749" w:rsidRDefault="00B64200" w:rsidP="00A417E8">
      <w:pPr>
        <w:autoSpaceDE w:val="0"/>
        <w:autoSpaceDN w:val="0"/>
        <w:adjustRightInd w:val="0"/>
        <w:spacing w:after="0"/>
        <w:ind w:firstLine="720"/>
        <w:rPr>
          <w:rFonts w:ascii="Arial" w:hAnsi="Arial" w:cs="Arial"/>
          <w:szCs w:val="24"/>
        </w:rPr>
      </w:pPr>
      <w:r w:rsidRPr="00EB1749">
        <w:rPr>
          <w:rFonts w:ascii="Arial" w:hAnsi="Arial" w:cs="Arial"/>
          <w:szCs w:val="24"/>
        </w:rPr>
        <w:t>Ron Engineering believed they were entitled to their deposit as a result of not winning the tender. The company believed the main basis of paying the deposit to the owner was to act as a sign of security or collateral in the bidding process</w:t>
      </w:r>
      <w:r>
        <w:rPr>
          <w:rFonts w:ascii="Arial" w:hAnsi="Arial" w:cs="Arial"/>
          <w:szCs w:val="24"/>
        </w:rPr>
        <w:t xml:space="preserve"> (Kenall, 2018)</w:t>
      </w:r>
      <w:r w:rsidRPr="00EB1749">
        <w:rPr>
          <w:rFonts w:ascii="Arial" w:hAnsi="Arial" w:cs="Arial"/>
          <w:szCs w:val="24"/>
        </w:rPr>
        <w:t xml:space="preserve">. Most companies pay tender deposits to allow the owner to have an agreement that assumes projects is awarded to them. The process of bidding was to be made secure through the use of deposit payments. However, Ron Engineering believed that in the case they are not awarded the tender then repayment of the deposit was to be done. They regarded themselves as a company entitled to the deposit they made as a result of failure to win the tender. Secondly, Ron Engineering argued that they had made a mistake in calculating their total bid price because the price of the owner was far much lower than theirs. The claim made the engineering company to perceive they are still entitled to the deposit they had made to the government. </w:t>
      </w:r>
    </w:p>
    <w:p w:rsidR="00B64200" w:rsidRPr="00A417E8" w:rsidRDefault="00B64200" w:rsidP="00A417E8">
      <w:pPr>
        <w:tabs>
          <w:tab w:val="left" w:pos="1440"/>
        </w:tabs>
        <w:spacing w:after="0"/>
        <w:ind w:firstLine="720"/>
        <w:rPr>
          <w:rFonts w:ascii="Arial" w:hAnsi="Arial" w:cs="Arial"/>
          <w:b/>
          <w:szCs w:val="24"/>
        </w:rPr>
      </w:pPr>
      <w:r w:rsidRPr="00A417E8">
        <w:rPr>
          <w:rFonts w:ascii="Arial" w:hAnsi="Arial" w:cs="Arial"/>
          <w:b/>
          <w:szCs w:val="24"/>
        </w:rPr>
        <w:t>The Government of Ontario (The Defendant’s) Position</w:t>
      </w:r>
    </w:p>
    <w:p w:rsidR="00B64200" w:rsidRPr="00EB1749" w:rsidRDefault="00B64200" w:rsidP="00A417E8">
      <w:pPr>
        <w:tabs>
          <w:tab w:val="left" w:pos="1440"/>
        </w:tabs>
        <w:spacing w:after="0"/>
        <w:ind w:firstLine="720"/>
        <w:rPr>
          <w:rFonts w:ascii="Arial" w:hAnsi="Arial" w:cs="Arial"/>
          <w:szCs w:val="24"/>
          <w:u w:val="single"/>
        </w:rPr>
      </w:pPr>
      <w:r w:rsidRPr="00EB1749">
        <w:rPr>
          <w:rFonts w:ascii="Arial" w:hAnsi="Arial" w:cs="Arial"/>
          <w:szCs w:val="24"/>
        </w:rPr>
        <w:t xml:space="preserve"> Description of why The Government of Ontario believed they were entitled to keep the deposit</w:t>
      </w:r>
    </w:p>
    <w:p w:rsidR="00B64200" w:rsidRPr="00EB1749" w:rsidRDefault="00B64200" w:rsidP="00A417E8">
      <w:pPr>
        <w:autoSpaceDE w:val="0"/>
        <w:autoSpaceDN w:val="0"/>
        <w:adjustRightInd w:val="0"/>
        <w:spacing w:after="0"/>
        <w:ind w:firstLine="720"/>
        <w:rPr>
          <w:rFonts w:ascii="Arial" w:hAnsi="Arial" w:cs="Arial"/>
          <w:szCs w:val="24"/>
        </w:rPr>
      </w:pPr>
      <w:r w:rsidRPr="00EB1749">
        <w:rPr>
          <w:rFonts w:ascii="Arial" w:hAnsi="Arial" w:cs="Arial"/>
          <w:szCs w:val="24"/>
        </w:rPr>
        <w:t>The Government of Ontario believed that it had covered costs of Ron Engineering while it applied for the tender. The costs incurred were to be covered by the deposit they had paid the government. The Government of Ontario had the belief that all the costs that they got as a result of choosing another bidder for the tender made them become entitled to the deposit. The application of tender is normally done by many companies and all the mistakes made are covered by deposit</w:t>
      </w:r>
      <w:r>
        <w:rPr>
          <w:rFonts w:ascii="Arial" w:hAnsi="Arial" w:cs="Arial"/>
          <w:szCs w:val="24"/>
        </w:rPr>
        <w:t xml:space="preserve"> (Lambert, 2017)</w:t>
      </w:r>
      <w:r w:rsidRPr="00EB1749">
        <w:rPr>
          <w:rFonts w:ascii="Arial" w:hAnsi="Arial" w:cs="Arial"/>
          <w:szCs w:val="24"/>
        </w:rPr>
        <w:t xml:space="preserve">. The </w:t>
      </w:r>
      <w:r w:rsidRPr="00EB1749">
        <w:rPr>
          <w:rFonts w:ascii="Arial" w:hAnsi="Arial" w:cs="Arial"/>
          <w:szCs w:val="24"/>
        </w:rPr>
        <w:lastRenderedPageBreak/>
        <w:t>Government of Ontario was not glad by the decision made by Ontario Court of Appeal concerning refunding deposit to Ron Engineering. The Government of Ontario claimed it made a public offer for a tender that required payment of $150,000 deposit. The money was used in covering all the cost of application as well as act as collateral. So every company that needed to be awarded the tender was to make appropriate payment as a form of showing interest. Therefore, Ontario Government had the ability to believe they were entitled to the deposit made by Ron Engineering. Also, the mistake made by Ron Engineering concerning their total bid price was a situation covered by the deposit</w:t>
      </w:r>
      <w:r w:rsidRPr="00E8589F">
        <w:rPr>
          <w:rFonts w:ascii="Arial" w:hAnsi="Arial" w:cs="Arial"/>
          <w:szCs w:val="24"/>
        </w:rPr>
        <w:t xml:space="preserve"> </w:t>
      </w:r>
      <w:r>
        <w:rPr>
          <w:rFonts w:ascii="Arial" w:hAnsi="Arial" w:cs="Arial"/>
          <w:szCs w:val="24"/>
        </w:rPr>
        <w:t>(</w:t>
      </w:r>
      <w:r w:rsidRPr="00C80B2B">
        <w:rPr>
          <w:rFonts w:ascii="Arial" w:hAnsi="Arial" w:cs="Arial"/>
          <w:szCs w:val="24"/>
        </w:rPr>
        <w:t>Sandr</w:t>
      </w:r>
      <w:r>
        <w:rPr>
          <w:rFonts w:ascii="Arial" w:hAnsi="Arial" w:cs="Arial"/>
          <w:szCs w:val="24"/>
        </w:rPr>
        <w:t>asagra &amp; Soltys, 2016)</w:t>
      </w:r>
      <w:r w:rsidRPr="00EB1749">
        <w:rPr>
          <w:rFonts w:ascii="Arial" w:hAnsi="Arial" w:cs="Arial"/>
          <w:szCs w:val="24"/>
        </w:rPr>
        <w:t>. The contractual doctrine of mistake made by Ron Engineering when applying for the tender was to be repaid by money they used as deposit. Ontario Government regarded itself liable to the deposit that had been paid.</w:t>
      </w:r>
    </w:p>
    <w:p w:rsidR="00B64200" w:rsidRPr="00EB1749" w:rsidRDefault="00B64200" w:rsidP="00A417E8">
      <w:pPr>
        <w:autoSpaceDE w:val="0"/>
        <w:autoSpaceDN w:val="0"/>
        <w:adjustRightInd w:val="0"/>
        <w:spacing w:after="0"/>
        <w:ind w:firstLine="720"/>
        <w:rPr>
          <w:rFonts w:ascii="Arial" w:hAnsi="Arial" w:cs="Arial"/>
          <w:szCs w:val="24"/>
        </w:rPr>
      </w:pPr>
      <w:r w:rsidRPr="00A417E8">
        <w:rPr>
          <w:rFonts w:ascii="Arial" w:hAnsi="Arial" w:cs="Arial"/>
          <w:b/>
          <w:szCs w:val="24"/>
        </w:rPr>
        <w:t>The Ruling</w:t>
      </w:r>
      <w:r w:rsidRPr="00A417E8">
        <w:rPr>
          <w:rFonts w:ascii="Arial" w:hAnsi="Arial" w:cs="Arial"/>
          <w:b/>
          <w:szCs w:val="24"/>
        </w:rPr>
        <w:br/>
      </w:r>
      <w:r w:rsidRPr="00EB1749">
        <w:rPr>
          <w:rFonts w:ascii="Arial" w:hAnsi="Arial" w:cs="Arial"/>
          <w:szCs w:val="24"/>
        </w:rPr>
        <w:t xml:space="preserve">Provide a description of what the Supreme Court decided (who got to keep the deposit?). What their rationale for their decision and why was this so significant? </w:t>
      </w:r>
    </w:p>
    <w:p w:rsidR="00B64200" w:rsidRPr="00EB1749" w:rsidRDefault="00B64200" w:rsidP="00A417E8">
      <w:pPr>
        <w:autoSpaceDE w:val="0"/>
        <w:autoSpaceDN w:val="0"/>
        <w:adjustRightInd w:val="0"/>
        <w:spacing w:after="0"/>
        <w:ind w:firstLine="720"/>
        <w:rPr>
          <w:rFonts w:ascii="Arial" w:hAnsi="Arial" w:cs="Arial"/>
          <w:szCs w:val="24"/>
        </w:rPr>
      </w:pPr>
      <w:r w:rsidRPr="00EB1749">
        <w:rPr>
          <w:rFonts w:ascii="Arial" w:hAnsi="Arial" w:cs="Arial"/>
          <w:szCs w:val="24"/>
        </w:rPr>
        <w:t>The Supreme Court of Canada reversed the decision made by Court of Appeal by ordering that the owner was entitled to the deposit. First, the existence of Contract A and Contract B were applied by the juries. Contract A stipulated that there was an irrevocable agreement for both the parties to get involved in a construction contract. The deposit was to be used as a form of performance creation by the contract and tenderer under contract A. So any mistake produced to justify a tendering process was not well done does not apply</w:t>
      </w:r>
      <w:r w:rsidRPr="008733C9">
        <w:rPr>
          <w:rFonts w:ascii="Arial" w:hAnsi="Arial" w:cs="Arial"/>
          <w:szCs w:val="24"/>
        </w:rPr>
        <w:t xml:space="preserve"> </w:t>
      </w:r>
      <w:r>
        <w:rPr>
          <w:rFonts w:ascii="Arial" w:hAnsi="Arial" w:cs="Arial"/>
          <w:szCs w:val="24"/>
        </w:rPr>
        <w:t>(Lalonde, 2017)</w:t>
      </w:r>
      <w:r w:rsidRPr="00EB1749">
        <w:rPr>
          <w:rFonts w:ascii="Arial" w:hAnsi="Arial" w:cs="Arial"/>
          <w:szCs w:val="24"/>
        </w:rPr>
        <w:t xml:space="preserve">. Therefore, Ron Engineering claim of making a mistake in the process of tendering was not applicable. Reasonable evidence cannot be created as a result of mistake made in the tender application process. Most decisions </w:t>
      </w:r>
      <w:r w:rsidRPr="00EB1749">
        <w:rPr>
          <w:rFonts w:ascii="Arial" w:hAnsi="Arial" w:cs="Arial"/>
          <w:szCs w:val="24"/>
        </w:rPr>
        <w:lastRenderedPageBreak/>
        <w:t xml:space="preserve">concerning the case were done due to law of mistake that was in connection with contract A. The application of the law made applications of the tender provisions to be in the document. All the decisions to be made concerning the mistake were stipulated in the document to allow for creation of understanding. </w:t>
      </w:r>
    </w:p>
    <w:p w:rsidR="00B64200" w:rsidRPr="00A417E8" w:rsidRDefault="00B64200" w:rsidP="00A417E8">
      <w:pPr>
        <w:autoSpaceDE w:val="0"/>
        <w:autoSpaceDN w:val="0"/>
        <w:adjustRightInd w:val="0"/>
        <w:spacing w:after="0"/>
        <w:ind w:firstLine="720"/>
        <w:rPr>
          <w:rFonts w:ascii="Arial" w:hAnsi="Arial" w:cs="Arial"/>
          <w:b/>
          <w:szCs w:val="24"/>
        </w:rPr>
      </w:pPr>
      <w:r w:rsidRPr="00A417E8">
        <w:rPr>
          <w:rFonts w:ascii="Arial" w:hAnsi="Arial" w:cs="Arial"/>
          <w:b/>
          <w:szCs w:val="24"/>
        </w:rPr>
        <w:t>Personal Reflection – Mistakes in Procurement</w:t>
      </w:r>
    </w:p>
    <w:p w:rsidR="00B64200" w:rsidRDefault="00B64200" w:rsidP="00A417E8">
      <w:pPr>
        <w:autoSpaceDE w:val="0"/>
        <w:autoSpaceDN w:val="0"/>
        <w:adjustRightInd w:val="0"/>
        <w:spacing w:after="0"/>
        <w:ind w:firstLine="720"/>
        <w:rPr>
          <w:rFonts w:ascii="Arial" w:hAnsi="Arial" w:cs="Arial"/>
          <w:szCs w:val="24"/>
        </w:rPr>
      </w:pPr>
      <w:r w:rsidRPr="00EB1749">
        <w:rPr>
          <w:rFonts w:ascii="Arial" w:hAnsi="Arial" w:cs="Arial"/>
          <w:szCs w:val="24"/>
        </w:rPr>
        <w:t>Public procurement needs to be done in a process that allows for transparency of the tendering process. The core principles of public procurement are openness, fairness, accountability, competition, integrity and transparency</w:t>
      </w:r>
      <w:r w:rsidRPr="003C6F00">
        <w:rPr>
          <w:rFonts w:ascii="Arial" w:hAnsi="Arial" w:cs="Arial"/>
          <w:szCs w:val="24"/>
        </w:rPr>
        <w:t xml:space="preserve"> </w:t>
      </w:r>
      <w:r>
        <w:rPr>
          <w:rFonts w:ascii="Arial" w:hAnsi="Arial" w:cs="Arial"/>
          <w:szCs w:val="24"/>
        </w:rPr>
        <w:t>(Kenall, 2018)</w:t>
      </w:r>
      <w:r w:rsidRPr="00EB1749">
        <w:rPr>
          <w:rFonts w:ascii="Arial" w:hAnsi="Arial" w:cs="Arial"/>
          <w:szCs w:val="24"/>
        </w:rPr>
        <w:t>. All these forms the basic fundamental principles used in managing public procurement. Mistakes that take place in the process of applying for tenders can be curbed through creating an e-procurement system. The system would be significant in informing anybody doing application of a tender any mistake he or she might commit. The e-procurement system contains an oversight and control features that allows for corrections to be done by tenderer. I think creation of an effective e-procurement system that helps in identifying any person doing tendering as well as mistakes is appropriate. Curbing mistakes would make sure the tender application process in the society is managed adequately</w:t>
      </w:r>
      <w:r w:rsidRPr="00E13E9A">
        <w:rPr>
          <w:rFonts w:ascii="Arial" w:hAnsi="Arial" w:cs="Arial"/>
          <w:szCs w:val="24"/>
        </w:rPr>
        <w:t xml:space="preserve"> </w:t>
      </w:r>
      <w:r>
        <w:rPr>
          <w:rFonts w:ascii="Arial" w:hAnsi="Arial" w:cs="Arial"/>
          <w:szCs w:val="24"/>
        </w:rPr>
        <w:t>(Lambert, 2017)</w:t>
      </w:r>
      <w:r w:rsidRPr="00EB1749">
        <w:rPr>
          <w:rFonts w:ascii="Arial" w:hAnsi="Arial" w:cs="Arial"/>
          <w:szCs w:val="24"/>
        </w:rPr>
        <w:t xml:space="preserve">. Mistakes cause a lot of confusion that normally results in the tenderer suffering heavily due to existence of contract A. </w:t>
      </w:r>
    </w:p>
    <w:p w:rsidR="00B64200" w:rsidRDefault="00B64200" w:rsidP="00A417E8">
      <w:pPr>
        <w:autoSpaceDE w:val="0"/>
        <w:autoSpaceDN w:val="0"/>
        <w:adjustRightInd w:val="0"/>
        <w:spacing w:after="0"/>
        <w:ind w:firstLine="720"/>
        <w:rPr>
          <w:rFonts w:ascii="Arial" w:hAnsi="Arial" w:cs="Arial"/>
          <w:szCs w:val="24"/>
        </w:rPr>
      </w:pPr>
    </w:p>
    <w:p w:rsidR="00B64200" w:rsidRDefault="00B64200" w:rsidP="00A417E8">
      <w:pPr>
        <w:autoSpaceDE w:val="0"/>
        <w:autoSpaceDN w:val="0"/>
        <w:adjustRightInd w:val="0"/>
        <w:spacing w:after="0"/>
        <w:ind w:firstLine="720"/>
        <w:rPr>
          <w:rFonts w:ascii="Arial" w:hAnsi="Arial" w:cs="Arial"/>
          <w:szCs w:val="24"/>
        </w:rPr>
      </w:pPr>
    </w:p>
    <w:p w:rsidR="00B64200" w:rsidRDefault="00B64200" w:rsidP="00A417E8">
      <w:pPr>
        <w:autoSpaceDE w:val="0"/>
        <w:autoSpaceDN w:val="0"/>
        <w:adjustRightInd w:val="0"/>
        <w:spacing w:after="0"/>
        <w:ind w:firstLine="720"/>
        <w:rPr>
          <w:rFonts w:ascii="Arial" w:hAnsi="Arial" w:cs="Arial"/>
          <w:szCs w:val="24"/>
        </w:rPr>
      </w:pPr>
    </w:p>
    <w:p w:rsidR="00B64200" w:rsidRDefault="00B64200" w:rsidP="00A417E8">
      <w:pPr>
        <w:autoSpaceDE w:val="0"/>
        <w:autoSpaceDN w:val="0"/>
        <w:adjustRightInd w:val="0"/>
        <w:spacing w:after="0"/>
        <w:ind w:firstLine="720"/>
        <w:rPr>
          <w:rFonts w:ascii="Arial" w:hAnsi="Arial" w:cs="Arial"/>
          <w:szCs w:val="24"/>
        </w:rPr>
      </w:pPr>
    </w:p>
    <w:p w:rsidR="00B64200" w:rsidRDefault="00B64200" w:rsidP="00A417E8">
      <w:pPr>
        <w:autoSpaceDE w:val="0"/>
        <w:autoSpaceDN w:val="0"/>
        <w:adjustRightInd w:val="0"/>
        <w:spacing w:after="0"/>
        <w:rPr>
          <w:rFonts w:ascii="Arial" w:hAnsi="Arial" w:cs="Arial"/>
          <w:szCs w:val="24"/>
        </w:rPr>
      </w:pPr>
    </w:p>
    <w:p w:rsidR="00B64200" w:rsidRDefault="00B64200" w:rsidP="00A417E8">
      <w:pPr>
        <w:autoSpaceDE w:val="0"/>
        <w:autoSpaceDN w:val="0"/>
        <w:adjustRightInd w:val="0"/>
        <w:spacing w:after="0"/>
        <w:rPr>
          <w:rFonts w:ascii="Arial" w:hAnsi="Arial" w:cs="Arial"/>
          <w:szCs w:val="24"/>
        </w:rPr>
      </w:pPr>
    </w:p>
    <w:p w:rsidR="00B64200" w:rsidRPr="00C80B2B" w:rsidRDefault="00B64200" w:rsidP="00A417E8">
      <w:pPr>
        <w:autoSpaceDE w:val="0"/>
        <w:autoSpaceDN w:val="0"/>
        <w:adjustRightInd w:val="0"/>
        <w:spacing w:after="0"/>
        <w:ind w:firstLine="720"/>
        <w:jc w:val="center"/>
        <w:rPr>
          <w:rFonts w:ascii="Arial" w:hAnsi="Arial" w:cs="Arial"/>
          <w:szCs w:val="24"/>
        </w:rPr>
      </w:pPr>
      <w:r w:rsidRPr="00C80B2B">
        <w:rPr>
          <w:rFonts w:ascii="Arial" w:hAnsi="Arial" w:cs="Arial"/>
          <w:szCs w:val="24"/>
        </w:rPr>
        <w:t>References</w:t>
      </w:r>
    </w:p>
    <w:p w:rsidR="00B64200" w:rsidRPr="00C80B2B" w:rsidRDefault="00B64200" w:rsidP="00A417E8">
      <w:pPr>
        <w:spacing w:after="0"/>
        <w:ind w:left="720" w:hangingChars="300" w:hanging="720"/>
        <w:rPr>
          <w:rFonts w:ascii="Arial" w:hAnsi="Arial" w:cs="Arial"/>
          <w:szCs w:val="24"/>
        </w:rPr>
      </w:pPr>
      <w:r w:rsidRPr="00C80B2B">
        <w:rPr>
          <w:rFonts w:ascii="Arial" w:hAnsi="Arial" w:cs="Arial"/>
          <w:szCs w:val="24"/>
        </w:rPr>
        <w:t xml:space="preserve">Greene, S. (2017). Attorney General of Canada v Rapiscan Systems Inc.: Reflections on the Challenge of Judicial Review in Government Procurement. </w:t>
      </w:r>
      <w:r w:rsidRPr="00C80B2B">
        <w:rPr>
          <w:rFonts w:ascii="Arial" w:hAnsi="Arial" w:cs="Arial"/>
          <w:i/>
          <w:iCs/>
          <w:szCs w:val="24"/>
        </w:rPr>
        <w:t>U. Toronto Fac. L. Rev.</w:t>
      </w:r>
      <w:r w:rsidRPr="00C80B2B">
        <w:rPr>
          <w:rFonts w:ascii="Arial" w:hAnsi="Arial" w:cs="Arial"/>
          <w:szCs w:val="24"/>
        </w:rPr>
        <w:t xml:space="preserve">, </w:t>
      </w:r>
      <w:r w:rsidRPr="00C80B2B">
        <w:rPr>
          <w:rFonts w:ascii="Arial" w:hAnsi="Arial" w:cs="Arial"/>
          <w:i/>
          <w:iCs/>
          <w:szCs w:val="24"/>
        </w:rPr>
        <w:t>75</w:t>
      </w:r>
      <w:r w:rsidRPr="00C80B2B">
        <w:rPr>
          <w:rFonts w:ascii="Arial" w:hAnsi="Arial" w:cs="Arial"/>
          <w:szCs w:val="24"/>
        </w:rPr>
        <w:t>, 48.</w:t>
      </w:r>
    </w:p>
    <w:p w:rsidR="00B64200" w:rsidRPr="00C80B2B" w:rsidRDefault="00B64200" w:rsidP="00A417E8">
      <w:pPr>
        <w:spacing w:after="0"/>
        <w:ind w:left="720" w:hangingChars="300" w:hanging="720"/>
        <w:rPr>
          <w:rFonts w:ascii="Arial" w:hAnsi="Arial" w:cs="Arial"/>
          <w:szCs w:val="24"/>
        </w:rPr>
      </w:pPr>
      <w:r w:rsidRPr="00C80B2B">
        <w:rPr>
          <w:rFonts w:ascii="Arial" w:hAnsi="Arial" w:cs="Arial"/>
          <w:szCs w:val="24"/>
        </w:rPr>
        <w:t xml:space="preserve">Kenall, D. (2018). Administrative Remedies for Administrative Disputes: Perfecting Public Control of Public Procurement. </w:t>
      </w:r>
      <w:r w:rsidRPr="00C80B2B">
        <w:rPr>
          <w:rFonts w:ascii="Arial" w:hAnsi="Arial" w:cs="Arial"/>
          <w:i/>
          <w:iCs/>
          <w:szCs w:val="24"/>
        </w:rPr>
        <w:t>Canadian Journal of Administrative Law &amp; Practice</w:t>
      </w:r>
      <w:r w:rsidRPr="00C80B2B">
        <w:rPr>
          <w:rFonts w:ascii="Arial" w:hAnsi="Arial" w:cs="Arial"/>
          <w:szCs w:val="24"/>
        </w:rPr>
        <w:t xml:space="preserve">, </w:t>
      </w:r>
      <w:r w:rsidRPr="00C80B2B">
        <w:rPr>
          <w:rFonts w:ascii="Arial" w:hAnsi="Arial" w:cs="Arial"/>
          <w:i/>
          <w:iCs/>
          <w:szCs w:val="24"/>
        </w:rPr>
        <w:t>31</w:t>
      </w:r>
      <w:r w:rsidRPr="00C80B2B">
        <w:rPr>
          <w:rFonts w:ascii="Arial" w:hAnsi="Arial" w:cs="Arial"/>
          <w:szCs w:val="24"/>
        </w:rPr>
        <w:t>(2), 177-200.</w:t>
      </w:r>
    </w:p>
    <w:p w:rsidR="00B64200" w:rsidRPr="00C80B2B" w:rsidRDefault="00B64200" w:rsidP="00A417E8">
      <w:pPr>
        <w:spacing w:after="0"/>
        <w:ind w:left="720" w:hangingChars="300" w:hanging="720"/>
        <w:rPr>
          <w:rFonts w:ascii="Arial" w:hAnsi="Arial" w:cs="Arial"/>
          <w:szCs w:val="24"/>
        </w:rPr>
      </w:pPr>
      <w:r w:rsidRPr="00C80B2B">
        <w:rPr>
          <w:rFonts w:ascii="Arial" w:hAnsi="Arial" w:cs="Arial"/>
          <w:szCs w:val="24"/>
        </w:rPr>
        <w:t xml:space="preserve">Lalonde, P. M. (2017). 11 The Internationalization of Canada’s Public Procurement. </w:t>
      </w:r>
      <w:r w:rsidRPr="00C80B2B">
        <w:rPr>
          <w:rFonts w:ascii="Arial" w:hAnsi="Arial" w:cs="Arial"/>
          <w:i/>
          <w:iCs/>
          <w:szCs w:val="24"/>
        </w:rPr>
        <w:t>The Internationalization of Government Procurement Regulation</w:t>
      </w:r>
      <w:r w:rsidRPr="00C80B2B">
        <w:rPr>
          <w:rFonts w:ascii="Arial" w:hAnsi="Arial" w:cs="Arial"/>
          <w:szCs w:val="24"/>
        </w:rPr>
        <w:t>, 300.</w:t>
      </w:r>
    </w:p>
    <w:p w:rsidR="00B64200" w:rsidRPr="00C80B2B" w:rsidRDefault="00B64200" w:rsidP="00A417E8">
      <w:pPr>
        <w:spacing w:after="0"/>
        <w:ind w:left="720" w:hangingChars="300" w:hanging="720"/>
        <w:rPr>
          <w:rFonts w:ascii="Arial" w:hAnsi="Arial" w:cs="Arial"/>
          <w:szCs w:val="24"/>
        </w:rPr>
      </w:pPr>
      <w:r w:rsidRPr="00C80B2B">
        <w:rPr>
          <w:rFonts w:ascii="Arial" w:hAnsi="Arial" w:cs="Arial"/>
          <w:szCs w:val="24"/>
        </w:rPr>
        <w:t xml:space="preserve">Lambert, N. (2017). The Constitutional Aspect of Canadian Contract Law. In </w:t>
      </w:r>
      <w:r w:rsidRPr="00C80B2B">
        <w:rPr>
          <w:rFonts w:ascii="Arial" w:hAnsi="Arial" w:cs="Arial"/>
          <w:i/>
          <w:iCs/>
          <w:szCs w:val="24"/>
        </w:rPr>
        <w:t>The Constitutional Dimension of Contract Law</w:t>
      </w:r>
      <w:r w:rsidRPr="00C80B2B">
        <w:rPr>
          <w:rFonts w:ascii="Arial" w:hAnsi="Arial" w:cs="Arial"/>
          <w:szCs w:val="24"/>
        </w:rPr>
        <w:t xml:space="preserve"> (pp. 269-288). Springer, Cham.</w:t>
      </w:r>
    </w:p>
    <w:p w:rsidR="00B64200" w:rsidRPr="00C80B2B" w:rsidRDefault="00B64200" w:rsidP="00A417E8">
      <w:pPr>
        <w:spacing w:after="0"/>
        <w:ind w:left="720" w:hangingChars="300" w:hanging="720"/>
        <w:rPr>
          <w:rFonts w:ascii="Arial" w:hAnsi="Arial" w:cs="Arial"/>
          <w:szCs w:val="24"/>
        </w:rPr>
      </w:pPr>
      <w:r w:rsidRPr="00C80B2B">
        <w:rPr>
          <w:rFonts w:ascii="Arial" w:hAnsi="Arial" w:cs="Arial"/>
          <w:szCs w:val="24"/>
        </w:rPr>
        <w:t xml:space="preserve">Sandrasagra, B., &amp; Soltys, M. (2016). Complex ranking procedures. </w:t>
      </w:r>
      <w:r w:rsidRPr="00C80B2B">
        <w:rPr>
          <w:rFonts w:ascii="Arial" w:hAnsi="Arial" w:cs="Arial"/>
          <w:i/>
          <w:iCs/>
          <w:szCs w:val="24"/>
        </w:rPr>
        <w:t>Fundamenta Informaticae</w:t>
      </w:r>
      <w:r w:rsidRPr="00C80B2B">
        <w:rPr>
          <w:rFonts w:ascii="Arial" w:hAnsi="Arial" w:cs="Arial"/>
          <w:szCs w:val="24"/>
        </w:rPr>
        <w:t xml:space="preserve">, </w:t>
      </w:r>
      <w:r w:rsidRPr="00C80B2B">
        <w:rPr>
          <w:rFonts w:ascii="Arial" w:hAnsi="Arial" w:cs="Arial"/>
          <w:i/>
          <w:iCs/>
          <w:szCs w:val="24"/>
        </w:rPr>
        <w:t>144</w:t>
      </w:r>
      <w:r w:rsidRPr="00C80B2B">
        <w:rPr>
          <w:rFonts w:ascii="Arial" w:hAnsi="Arial" w:cs="Arial"/>
          <w:szCs w:val="24"/>
        </w:rPr>
        <w:t>(3-4), 223-240.</w:t>
      </w:r>
    </w:p>
    <w:p w:rsidR="00B64200" w:rsidRPr="00C80B2B" w:rsidRDefault="00B64200" w:rsidP="00A417E8">
      <w:pPr>
        <w:autoSpaceDE w:val="0"/>
        <w:autoSpaceDN w:val="0"/>
        <w:adjustRightInd w:val="0"/>
        <w:spacing w:after="0"/>
        <w:ind w:left="720" w:hangingChars="300" w:hanging="720"/>
        <w:rPr>
          <w:rFonts w:ascii="Arial" w:eastAsiaTheme="minorHAnsi" w:hAnsi="Arial" w:cs="Arial"/>
          <w:szCs w:val="24"/>
        </w:rPr>
      </w:pPr>
    </w:p>
    <w:p w:rsidR="001E78AD" w:rsidRPr="00D77F2F" w:rsidRDefault="001E78AD" w:rsidP="00A417E8">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59A" w:rsidRDefault="0019559A" w:rsidP="00790ECD">
      <w:pPr>
        <w:spacing w:after="0" w:line="240" w:lineRule="auto"/>
      </w:pPr>
      <w:r>
        <w:separator/>
      </w:r>
    </w:p>
  </w:endnote>
  <w:endnote w:type="continuationSeparator" w:id="0">
    <w:p w:rsidR="0019559A" w:rsidRDefault="0019559A"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59A" w:rsidRDefault="0019559A" w:rsidP="00790ECD">
      <w:pPr>
        <w:spacing w:after="0" w:line="240" w:lineRule="auto"/>
      </w:pPr>
      <w:r>
        <w:separator/>
      </w:r>
    </w:p>
  </w:footnote>
  <w:footnote w:type="continuationSeparator" w:id="0">
    <w:p w:rsidR="0019559A" w:rsidRDefault="0019559A"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rPr>
      <w:id w:val="916238"/>
      <w:docPartObj>
        <w:docPartGallery w:val="Page Numbers (Top of Page)"/>
        <w:docPartUnique/>
      </w:docPartObj>
    </w:sdtPr>
    <w:sdtEndPr/>
    <w:sdtContent>
      <w:p w:rsidR="003A2F85" w:rsidRPr="00A417E8" w:rsidRDefault="00B64200" w:rsidP="00B64200">
        <w:pPr>
          <w:pStyle w:val="Header"/>
          <w:rPr>
            <w:rFonts w:ascii="Arial Narrow" w:hAnsi="Arial Narrow"/>
          </w:rPr>
        </w:pPr>
        <w:r w:rsidRPr="00A417E8">
          <w:rPr>
            <w:rFonts w:ascii="Arial Narrow" w:hAnsi="Arial Narrow"/>
          </w:rPr>
          <w:t>RON ENGINEERING VS. GOVERNMENT OF ONTARIO</w:t>
        </w:r>
        <w:r w:rsidR="003A2F85" w:rsidRPr="00A417E8">
          <w:rPr>
            <w:rFonts w:ascii="Arial Narrow" w:hAnsi="Arial Narrow"/>
          </w:rPr>
          <w:tab/>
        </w:r>
        <w:r w:rsidR="003A2F85" w:rsidRPr="00A417E8">
          <w:rPr>
            <w:rFonts w:ascii="Arial Narrow" w:hAnsi="Arial Narrow"/>
          </w:rPr>
          <w:tab/>
        </w:r>
        <w:r w:rsidR="00052DA2" w:rsidRPr="00A417E8">
          <w:rPr>
            <w:rFonts w:ascii="Arial Narrow" w:hAnsi="Arial Narrow"/>
          </w:rPr>
          <w:fldChar w:fldCharType="begin"/>
        </w:r>
        <w:r w:rsidR="00052DA2" w:rsidRPr="00A417E8">
          <w:rPr>
            <w:rFonts w:ascii="Arial Narrow" w:hAnsi="Arial Narrow"/>
          </w:rPr>
          <w:instrText xml:space="preserve"> PAGE   \* MERGEFORMAT </w:instrText>
        </w:r>
        <w:r w:rsidR="00052DA2" w:rsidRPr="00A417E8">
          <w:rPr>
            <w:rFonts w:ascii="Arial Narrow" w:hAnsi="Arial Narrow"/>
          </w:rPr>
          <w:fldChar w:fldCharType="separate"/>
        </w:r>
        <w:r w:rsidR="00A417E8">
          <w:rPr>
            <w:rFonts w:ascii="Arial Narrow" w:hAnsi="Arial Narrow"/>
            <w:noProof/>
          </w:rPr>
          <w:t>2</w:t>
        </w:r>
        <w:r w:rsidR="00052DA2" w:rsidRPr="00A417E8">
          <w:rPr>
            <w:rFonts w:ascii="Arial Narrow" w:hAnsi="Arial Narrow"/>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Pr="00A417E8" w:rsidRDefault="003A2F85">
    <w:pPr>
      <w:pStyle w:val="Header"/>
      <w:rPr>
        <w:rFonts w:ascii="Arial Narrow" w:hAnsi="Arial Narrow"/>
      </w:rPr>
    </w:pPr>
    <w:r w:rsidRPr="00A417E8">
      <w:rPr>
        <w:rFonts w:ascii="Arial Narrow" w:hAnsi="Arial Narrow"/>
      </w:rPr>
      <w:t>Runnin</w:t>
    </w:r>
    <w:r w:rsidR="00B64200" w:rsidRPr="00A417E8">
      <w:rPr>
        <w:rFonts w:ascii="Arial Narrow" w:hAnsi="Arial Narrow"/>
      </w:rPr>
      <w:t>g Head: RON ENGINEERING VS GOVERNMENT OF ONTARIO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A49F2"/>
    <w:rsid w:val="000F132F"/>
    <w:rsid w:val="000F7DEE"/>
    <w:rsid w:val="00104BB6"/>
    <w:rsid w:val="00122D71"/>
    <w:rsid w:val="001621C5"/>
    <w:rsid w:val="00175783"/>
    <w:rsid w:val="0017744B"/>
    <w:rsid w:val="00190BE7"/>
    <w:rsid w:val="0019559A"/>
    <w:rsid w:val="00196B3F"/>
    <w:rsid w:val="001A475D"/>
    <w:rsid w:val="001C55F2"/>
    <w:rsid w:val="001E78AD"/>
    <w:rsid w:val="00220C58"/>
    <w:rsid w:val="002229DA"/>
    <w:rsid w:val="00257262"/>
    <w:rsid w:val="002572E5"/>
    <w:rsid w:val="00273295"/>
    <w:rsid w:val="002E0135"/>
    <w:rsid w:val="002E3683"/>
    <w:rsid w:val="002E6FB0"/>
    <w:rsid w:val="002F01C1"/>
    <w:rsid w:val="00300376"/>
    <w:rsid w:val="003771D7"/>
    <w:rsid w:val="00386290"/>
    <w:rsid w:val="0039592B"/>
    <w:rsid w:val="003A2F85"/>
    <w:rsid w:val="003E7231"/>
    <w:rsid w:val="003F55C0"/>
    <w:rsid w:val="004B10DF"/>
    <w:rsid w:val="004B7393"/>
    <w:rsid w:val="004C5BAC"/>
    <w:rsid w:val="004E53B8"/>
    <w:rsid w:val="00506140"/>
    <w:rsid w:val="00530D21"/>
    <w:rsid w:val="00571E8E"/>
    <w:rsid w:val="005855C2"/>
    <w:rsid w:val="005E1C46"/>
    <w:rsid w:val="005E3954"/>
    <w:rsid w:val="00603DD4"/>
    <w:rsid w:val="00646AEA"/>
    <w:rsid w:val="00655C99"/>
    <w:rsid w:val="00667FB0"/>
    <w:rsid w:val="00671CF6"/>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417E8"/>
    <w:rsid w:val="00A60FB8"/>
    <w:rsid w:val="00A82F89"/>
    <w:rsid w:val="00A91954"/>
    <w:rsid w:val="00AB1B13"/>
    <w:rsid w:val="00AD03E9"/>
    <w:rsid w:val="00AF71FD"/>
    <w:rsid w:val="00B1451E"/>
    <w:rsid w:val="00B30CA8"/>
    <w:rsid w:val="00B365FE"/>
    <w:rsid w:val="00B63977"/>
    <w:rsid w:val="00B64200"/>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64F4E0-68A0-410F-8F7D-5CDDF81C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CommentReference">
    <w:name w:val="annotation reference"/>
    <w:basedOn w:val="DefaultParagraphFont"/>
    <w:uiPriority w:val="99"/>
    <w:semiHidden/>
    <w:unhideWhenUsed/>
    <w:rsid w:val="00B6420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BCDB98-FBF4-4D8E-80B4-6514D27E9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1134</Words>
  <Characters>6466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2019-10-15T05:20:00Z</dcterms:created>
  <dcterms:modified xsi:type="dcterms:W3CDTF">2019-10-15T05:20:00Z</dcterms:modified>
</cp:coreProperties>
</file>